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B2" w:rsidRDefault="004C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201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</w:rPr>
        <w:t>20</w:t>
      </w:r>
      <w:r>
        <w:rPr>
          <w:rFonts w:ascii="Arial" w:eastAsia="Arial" w:hAnsi="Arial" w:cs="Arial"/>
          <w:color w:val="000000"/>
        </w:rPr>
        <w:t xml:space="preserve"> PNJA </w:t>
      </w:r>
      <w:r>
        <w:rPr>
          <w:rFonts w:ascii="Arial" w:eastAsia="Arial" w:hAnsi="Arial" w:cs="Arial"/>
        </w:rPr>
        <w:t xml:space="preserve">III Text Comprehension </w:t>
      </w:r>
      <w:r>
        <w:rPr>
          <w:rFonts w:ascii="Arial" w:eastAsia="Arial" w:hAnsi="Arial" w:cs="Arial"/>
          <w:color w:val="000000"/>
        </w:rPr>
        <w:t xml:space="preserve">and Lexis </w:t>
      </w:r>
      <w:r>
        <w:rPr>
          <w:rFonts w:ascii="Arial" w:eastAsia="Arial" w:hAnsi="Arial" w:cs="Arial"/>
        </w:rPr>
        <w:t>III N</w:t>
      </w:r>
      <w:r>
        <w:rPr>
          <w:rFonts w:ascii="Arial" w:eastAsia="Arial" w:hAnsi="Arial" w:cs="Arial"/>
          <w:color w:val="000000"/>
        </w:rPr>
        <w:t xml:space="preserve">S-lic rok </w:t>
      </w:r>
      <w:r>
        <w:rPr>
          <w:rFonts w:ascii="Arial" w:eastAsia="Arial" w:hAnsi="Arial" w:cs="Arial"/>
        </w:rPr>
        <w:t>2 sem 3</w:t>
      </w: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          Załącznik nr 4 do Zarządzenia Nr…………..</w:t>
      </w:r>
    </w:p>
    <w:p w:rsidR="00F709B2" w:rsidRDefault="00F709B2">
      <w:pPr>
        <w:widowControl w:val="0"/>
        <w:jc w:val="right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jc w:val="right"/>
        <w:rPr>
          <w:rFonts w:ascii="Arial" w:eastAsia="Arial" w:hAnsi="Arial" w:cs="Arial"/>
          <w:sz w:val="24"/>
          <w:szCs w:val="24"/>
        </w:rPr>
      </w:pPr>
    </w:p>
    <w:p w:rsidR="00F709B2" w:rsidRDefault="004C7EE1">
      <w:pPr>
        <w:keepNext/>
        <w:widowControl w:val="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F709B2" w:rsidRDefault="00F709B2">
      <w:pPr>
        <w:widowControl w:val="0"/>
        <w:jc w:val="center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F709B2">
        <w:trPr>
          <w:trHeight w:val="38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:rsidR="00F709B2" w:rsidRDefault="004C7EE1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III: NS Lic 2 Rok Semestr 3</w:t>
            </w:r>
          </w:p>
        </w:tc>
      </w:tr>
      <w:tr w:rsidR="00F709B2">
        <w:trPr>
          <w:trHeight w:val="36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709B2" w:rsidRDefault="004C7EE1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Text Comprehension and Lexis NS- Year Two Semester 3</w:t>
            </w:r>
          </w:p>
        </w:tc>
      </w:tr>
    </w:tbl>
    <w:p w:rsidR="00F709B2" w:rsidRDefault="00F709B2">
      <w:pPr>
        <w:widowControl w:val="0"/>
        <w:jc w:val="center"/>
        <w:rPr>
          <w:rFonts w:ascii="Arial" w:eastAsia="Arial" w:hAnsi="Arial" w:cs="Arial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709B2"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Marzena Dziadzio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Zespół dydaktyczny</w:t>
            </w:r>
          </w:p>
        </w:tc>
      </w:tr>
      <w:tr w:rsidR="00F709B2">
        <w:trPr>
          <w:trHeight w:val="360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Eliza Marczak</w:t>
            </w:r>
          </w:p>
          <w:p w:rsidR="00F709B2" w:rsidRDefault="00F709B2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</w:p>
        </w:tc>
      </w:tr>
      <w:tr w:rsidR="00F709B2"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Punktacja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F709B2" w:rsidRDefault="00D1111D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bookmarkStart w:id="0" w:name="_GoBack"/>
            <w:bookmarkEnd w:id="0"/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</w:tr>
    </w:tbl>
    <w:p w:rsidR="00F709B2" w:rsidRDefault="00F709B2">
      <w:pPr>
        <w:widowControl w:val="0"/>
        <w:jc w:val="center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kursu (cele uczenia)</w:t>
      </w:r>
    </w:p>
    <w:p w:rsidR="00F709B2" w:rsidRDefault="004C7EE1">
      <w:pPr>
        <w:widowControl w:val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Celem ogólnym jest opanowanie przez studenta umiejętności językowych na poziomie C1 oraz podstawowych umiejętności interkulturowych. </w:t>
      </w:r>
    </w:p>
    <w:p w:rsidR="00F709B2" w:rsidRDefault="00F709B2">
      <w:pPr>
        <w:widowControl w:val="0"/>
        <w:jc w:val="both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Cele szczegółowe osiągnięcie ich ma sprawić, że student:</w:t>
      </w:r>
    </w:p>
    <w:p w:rsidR="00F709B2" w:rsidRDefault="004C7EE1">
      <w:pPr>
        <w:widowControl w:val="0"/>
        <w:numPr>
          <w:ilvl w:val="0"/>
          <w:numId w:val="2"/>
        </w:numPr>
        <w:ind w:left="360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Zna i potrafi stosować słownictwo na p</w:t>
      </w:r>
      <w:r>
        <w:rPr>
          <w:rFonts w:ascii="Arial" w:eastAsia="Arial" w:hAnsi="Arial" w:cs="Arial"/>
          <w:sz w:val="22"/>
          <w:szCs w:val="22"/>
        </w:rPr>
        <w:t>oziomie B2/C1.</w:t>
      </w:r>
    </w:p>
    <w:p w:rsidR="00F709B2" w:rsidRDefault="004C7EE1">
      <w:pPr>
        <w:widowControl w:val="0"/>
        <w:numPr>
          <w:ilvl w:val="0"/>
          <w:numId w:val="2"/>
        </w:numPr>
        <w:ind w:left="360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Potrafi wyszukiwać, analizować, oceniać, selekcjonować i użytkować informacje z zakresu filologii z wykorzystaniem różnych źródeł i sposobów.</w:t>
      </w:r>
    </w:p>
    <w:p w:rsidR="00F709B2" w:rsidRDefault="004C7EE1">
      <w:pPr>
        <w:widowControl w:val="0"/>
        <w:numPr>
          <w:ilvl w:val="0"/>
          <w:numId w:val="2"/>
        </w:numPr>
        <w:ind w:left="360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Czyta ze zrozumieniem artykuły i reportaże dotyczące problemów współczesnego świata, w których pisz</w:t>
      </w:r>
      <w:r>
        <w:rPr>
          <w:rFonts w:ascii="Arial" w:eastAsia="Arial" w:hAnsi="Arial" w:cs="Arial"/>
          <w:sz w:val="22"/>
          <w:szCs w:val="22"/>
        </w:rPr>
        <w:t>ący prezentują określone stanowiska i poglądy.</w:t>
      </w:r>
    </w:p>
    <w:p w:rsidR="00F709B2" w:rsidRDefault="004C7EE1">
      <w:pPr>
        <w:widowControl w:val="0"/>
        <w:numPr>
          <w:ilvl w:val="0"/>
          <w:numId w:val="2"/>
        </w:numPr>
        <w:ind w:left="360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Potrafi zrozumieć teksty informacyjne i literackie, dostrzegając i doceniając ich zróżnicowanie pod względem stylu. Rozumie artykuły specjalistyczne i instrukcje techniczne, nawet te niezwiązane z jego dziedzi</w:t>
      </w:r>
      <w:r>
        <w:rPr>
          <w:rFonts w:ascii="Arial" w:eastAsia="Arial" w:hAnsi="Arial" w:cs="Arial"/>
          <w:sz w:val="22"/>
          <w:szCs w:val="22"/>
        </w:rPr>
        <w:t>ną.</w:t>
      </w:r>
    </w:p>
    <w:p w:rsidR="00F709B2" w:rsidRDefault="00F709B2">
      <w:pPr>
        <w:widowControl w:val="0"/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F709B2" w:rsidRDefault="00F709B2">
      <w:pPr>
        <w:widowControl w:val="0"/>
        <w:rPr>
          <w:rFonts w:ascii="Arial" w:eastAsia="Arial" w:hAnsi="Arial" w:cs="Arial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709B2">
        <w:trPr>
          <w:trHeight w:val="54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Wiedza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  <w:p w:rsidR="00F709B2" w:rsidRDefault="004C7EE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Czynna znajomość języka angielskiego na poziomie B2+. Wiedza i umiejętności zdobyte na pierwszym roku studiów 2018/19 potwierdzone zaliczeniem z przedmiotu i zaliczonym egzaminem PNJA. </w:t>
            </w:r>
          </w:p>
          <w:p w:rsidR="00F709B2" w:rsidRDefault="00F709B2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709B2">
        <w:trPr>
          <w:trHeight w:val="56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Wiedza i umiejętności zdobyte na pierwszym roku studiów filologii potwierdzone zaliczeniem z przedmiotu i pozytywnym wynikiem uzyskanym z egzaminu PNJA. Czynna znajomość języka angielskiego na poziomie B2+/C1</w:t>
            </w:r>
          </w:p>
        </w:tc>
      </w:tr>
      <w:tr w:rsidR="00F709B2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Kursy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  <w:p w:rsidR="00F709B2" w:rsidRDefault="004C7EE1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III</w:t>
            </w:r>
          </w:p>
        </w:tc>
      </w:tr>
    </w:tbl>
    <w:p w:rsidR="00F709B2" w:rsidRDefault="00F709B2">
      <w:pPr>
        <w:widowControl w:val="0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Efekty uczenia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5062"/>
        <w:gridCol w:w="2308"/>
      </w:tblGrid>
      <w:tr w:rsidR="00F709B2">
        <w:trPr>
          <w:trHeight w:val="920"/>
        </w:trPr>
        <w:tc>
          <w:tcPr>
            <w:tcW w:w="191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Wiedza</w:t>
            </w:r>
          </w:p>
        </w:tc>
        <w:tc>
          <w:tcPr>
            <w:tcW w:w="50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dla kursu</w:t>
            </w:r>
          </w:p>
        </w:tc>
        <w:tc>
          <w:tcPr>
            <w:tcW w:w="23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709B2">
        <w:trPr>
          <w:trHeight w:val="1820"/>
        </w:trPr>
        <w:tc>
          <w:tcPr>
            <w:tcW w:w="191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0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W01 posiada podstawową </w:t>
            </w:r>
            <w:r>
              <w:rPr>
                <w:rFonts w:ascii="Arial" w:eastAsia="Arial" w:hAnsi="Arial" w:cs="Arial"/>
                <w:color w:val="1A171B"/>
              </w:rPr>
              <w:t>wiedzę o miejscu i znaczeniu filologii w systemie nauk oraz ich specyfice przedmiotowej i metodologicznej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W02 </w:t>
            </w:r>
            <w:r>
              <w:rPr>
                <w:rFonts w:ascii="Arial" w:eastAsia="Arial" w:hAnsi="Arial" w:cs="Arial"/>
                <w:color w:val="1A171B"/>
              </w:rPr>
              <w:t xml:space="preserve">zna </w:t>
            </w:r>
            <w:r>
              <w:rPr>
                <w:rFonts w:ascii="Arial" w:eastAsia="Arial" w:hAnsi="Arial" w:cs="Arial"/>
              </w:rPr>
              <w:t>podstawową</w:t>
            </w:r>
            <w:r>
              <w:rPr>
                <w:rFonts w:ascii="Arial" w:eastAsia="Arial" w:hAnsi="Arial" w:cs="Arial"/>
                <w:color w:val="1A171B"/>
              </w:rPr>
              <w:t xml:space="preserve"> terminologię i wybrane teorie z zakresu filologii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W03 wykazuje świadomość kompleksowej natury języka oraz jego złożoności i jego hi</w:t>
            </w:r>
            <w:r>
              <w:rPr>
                <w:rFonts w:ascii="Arial" w:eastAsia="Arial" w:hAnsi="Arial" w:cs="Arial"/>
              </w:rPr>
              <w:t>storycznej zmienności</w:t>
            </w:r>
          </w:p>
        </w:tc>
        <w:tc>
          <w:tcPr>
            <w:tcW w:w="23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K1_W01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K1_W02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K1_W04</w:t>
            </w: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709B2">
        <w:trPr>
          <w:trHeight w:val="92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709B2">
        <w:trPr>
          <w:trHeight w:val="2100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 xml:space="preserve">U01 </w:t>
            </w:r>
            <w:r>
              <w:rPr>
                <w:rFonts w:ascii="Arial" w:eastAsia="Arial" w:hAnsi="Arial" w:cs="Arial"/>
                <w:color w:val="1A171B"/>
              </w:rPr>
              <w:t>w typowych sytuacjach zawodowych posługuje się podstawowymi ujęciami teoretycznymi i pojęciami właściwymi dla filologii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U02 </w:t>
            </w:r>
            <w:r>
              <w:rPr>
                <w:rFonts w:ascii="Arial" w:eastAsia="Arial" w:hAnsi="Arial" w:cs="Arial"/>
                <w:color w:val="1A171B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 xml:space="preserve">U03 </w:t>
            </w:r>
            <w:r>
              <w:rPr>
                <w:rFonts w:ascii="Arial" w:eastAsia="Arial" w:hAnsi="Arial" w:cs="Arial"/>
                <w:color w:val="1A171B"/>
              </w:rPr>
              <w:t>argumentuje z wykorzy</w:t>
            </w:r>
            <w:r>
              <w:rPr>
                <w:rFonts w:ascii="Arial" w:eastAsia="Arial" w:hAnsi="Arial" w:cs="Arial"/>
                <w:color w:val="1A171B"/>
              </w:rPr>
              <w:t>staniem poglądów innych autorów, oraz formułuje wnioski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U04 </w:t>
            </w:r>
            <w:r>
              <w:rPr>
                <w:rFonts w:ascii="Arial" w:eastAsia="Arial" w:hAnsi="Arial" w:cs="Arial"/>
                <w:color w:val="1A171B"/>
              </w:rPr>
              <w:t>posługuje się językiem obcym podstawowy dla swojej specjalności na poziomie C1 oraz może posługiwać się drugim językiem obcym na poziomie  co najmniej B1, zgodnie z wymaganiami określonymi przez E</w:t>
            </w:r>
            <w:r>
              <w:rPr>
                <w:rFonts w:ascii="Arial" w:eastAsia="Arial" w:hAnsi="Arial" w:cs="Arial"/>
                <w:color w:val="1A171B"/>
              </w:rPr>
              <w:t>uropejski System Opisu Kształcenia Językowego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U05 </w:t>
            </w:r>
            <w:r>
              <w:rPr>
                <w:rFonts w:ascii="Arial" w:eastAsia="Arial" w:hAnsi="Arial" w:cs="Arial"/>
                <w:color w:val="1A171B"/>
              </w:rPr>
              <w:t>współdziała i pracuje w grupie jedno lub wielokulturowej, przyjmując w niej różne role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 xml:space="preserve">U06 </w:t>
            </w:r>
            <w:r>
              <w:rPr>
                <w:rFonts w:ascii="Arial" w:eastAsia="Arial" w:hAnsi="Arial" w:cs="Arial"/>
                <w:color w:val="1A171B"/>
              </w:rPr>
              <w:t>samodzielnie planuje i realizuje własne uczenie się przez całe życie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U07 </w:t>
            </w:r>
            <w:r>
              <w:rPr>
                <w:rFonts w:ascii="Arial" w:eastAsia="Arial" w:hAnsi="Arial" w:cs="Arial"/>
                <w:color w:val="1A171B"/>
              </w:rPr>
              <w:t>potrafi dobierać i stosować właściwe metod</w:t>
            </w:r>
            <w:r>
              <w:rPr>
                <w:rFonts w:ascii="Arial" w:eastAsia="Arial" w:hAnsi="Arial" w:cs="Arial"/>
                <w:color w:val="1A171B"/>
              </w:rPr>
              <w:t>y i narzędzia, w tym zaawansowane techniki informacyjno-komunikacyjne (ICT)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K1_U03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K1_U04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K1_U05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K1_U09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K1_U10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K1_U11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br w:type="page"/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4995"/>
        <w:gridCol w:w="2346"/>
      </w:tblGrid>
      <w:tr w:rsidR="00F709B2">
        <w:trPr>
          <w:trHeight w:val="880"/>
        </w:trPr>
        <w:tc>
          <w:tcPr>
            <w:tcW w:w="1943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Kompetencje społeczne</w:t>
            </w:r>
          </w:p>
        </w:tc>
        <w:tc>
          <w:tcPr>
            <w:tcW w:w="49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dla kursu</w:t>
            </w:r>
          </w:p>
        </w:tc>
        <w:tc>
          <w:tcPr>
            <w:tcW w:w="23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709B2">
        <w:trPr>
          <w:trHeight w:val="1460"/>
        </w:trPr>
        <w:tc>
          <w:tcPr>
            <w:tcW w:w="1943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49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K01 </w:t>
            </w:r>
            <w:r>
              <w:rPr>
                <w:rFonts w:ascii="Arial" w:eastAsia="Arial" w:hAnsi="Arial" w:cs="Arial"/>
                <w:color w:val="1A171B"/>
              </w:rPr>
              <w:t>prawidłowo identyfikuje i rozstrzyga problemy związane z wykonywaniem zawodu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K02 </w:t>
            </w:r>
            <w:r>
              <w:rPr>
                <w:rFonts w:ascii="Arial" w:eastAsia="Arial" w:hAnsi="Arial" w:cs="Arial"/>
                <w:color w:val="1A171B"/>
              </w:rPr>
              <w:t>uczestniczy w życiu kulturalnym, korzystając z różnych mediów i różnych jego form</w:t>
            </w:r>
          </w:p>
        </w:tc>
        <w:tc>
          <w:tcPr>
            <w:tcW w:w="23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K1_K01</w:t>
            </w: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K1_K02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709B2">
        <w:trPr>
          <w:trHeight w:val="420"/>
        </w:trPr>
        <w:tc>
          <w:tcPr>
            <w:tcW w:w="9640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09B2" w:rsidRDefault="004C7EE1">
            <w:pPr>
              <w:widowControl w:val="0"/>
              <w:spacing w:before="57" w:after="57"/>
              <w:ind w:left="45" w:right="1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Organizacja</w:t>
            </w:r>
          </w:p>
        </w:tc>
      </w:tr>
      <w:tr w:rsidR="00F709B2">
        <w:trPr>
          <w:trHeight w:val="640"/>
        </w:trPr>
        <w:tc>
          <w:tcPr>
            <w:tcW w:w="161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grupach</w:t>
            </w:r>
          </w:p>
        </w:tc>
      </w:tr>
      <w:tr w:rsidR="00F709B2">
        <w:trPr>
          <w:trHeight w:val="460"/>
        </w:trPr>
        <w:tc>
          <w:tcPr>
            <w:tcW w:w="161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</w:tr>
      <w:tr w:rsidR="00F709B2">
        <w:trPr>
          <w:trHeight w:val="480"/>
        </w:trPr>
        <w:tc>
          <w:tcPr>
            <w:tcW w:w="16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</w:tr>
    </w:tbl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84"/>
      </w:tblGrid>
      <w:tr w:rsidR="00F709B2">
        <w:trPr>
          <w:trHeight w:val="1920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Interaktywne zajęcia językowe koncentrujące się na umiejętności czytania oraz rozwoju słownictwa obejmujące elementy prezentacji, pracę w parach, grupach oraz indywidualne ćwiczenia wykorzystujące następujące metody: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metoda komunikacyjna oraz zadaniowa 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metody podające, eksponujące, problemowe, aktywizujące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metoda projektowa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metody wspierające autonomiczne uczenie się</w:t>
            </w:r>
          </w:p>
          <w:p w:rsidR="00F709B2" w:rsidRDefault="004C7EE1">
            <w:pPr>
              <w:widowControl w:val="0"/>
            </w:pPr>
            <w:r>
              <w:rPr>
                <w:rFonts w:ascii="Arial" w:eastAsia="Arial" w:hAnsi="Arial" w:cs="Arial"/>
              </w:rPr>
              <w:t>- metody audiowizualne.</w:t>
            </w: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Formy sprawdzania efektów kształcenia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288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639"/>
        <w:gridCol w:w="638"/>
        <w:gridCol w:w="638"/>
        <w:gridCol w:w="638"/>
        <w:gridCol w:w="639"/>
        <w:gridCol w:w="639"/>
        <w:gridCol w:w="639"/>
        <w:gridCol w:w="639"/>
        <w:gridCol w:w="551"/>
        <w:gridCol w:w="727"/>
        <w:gridCol w:w="639"/>
        <w:gridCol w:w="639"/>
        <w:gridCol w:w="639"/>
      </w:tblGrid>
      <w:tr w:rsidR="00F709B2">
        <w:trPr>
          <w:trHeight w:val="160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 – learning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Gry dydaktyczne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szkole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Zajęcia terenowe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laboratoryjna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indywidualny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grupowy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Udział w dyskusji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Referat</w:t>
            </w: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pisemna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ustny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pisemny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Inne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K1_W03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K1_U03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K1_U04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K1_U05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K1_U06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K1_U07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709B2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F709B2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709B2" w:rsidRDefault="004C7EE1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</w:tbl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709B2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Kryteria oceny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Trzy testy, z których student musi otrzymać powyżej 60% (np. jeden na miesiąc). W przypadku nie zaliczenia  testu, testy poprawkowe uzupełniające w sesji poprawkowej. Student zobowiązany jest brać czynny udział w zajęciach. Dozwolone jest opuszczenie jedny</w:t>
            </w:r>
            <w:r>
              <w:rPr>
                <w:rFonts w:ascii="Arial" w:eastAsia="Arial" w:hAnsi="Arial" w:cs="Arial"/>
              </w:rPr>
              <w:t>ch zajęć w ciągu semestru bez usprawiedliwienia, jednakże nie tych zajęć kiedy wyznaczona jest praca kontrolna.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Końcowa ocena w/g skali: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100 - 93 – bardzo dobry, 5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92 - 85 - dobry plus; 4,5;  4+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84 - 77 - dobry,  4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76 - 69 - dostateczny plus; 3,5; 3+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68 - </w:t>
            </w:r>
            <w:r>
              <w:rPr>
                <w:rFonts w:ascii="Arial" w:eastAsia="Arial" w:hAnsi="Arial" w:cs="Arial"/>
              </w:rPr>
              <w:t>60 - dostateczny, 3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00 - 59 – niedostateczny;  2</w:t>
            </w:r>
          </w:p>
          <w:p w:rsidR="00F709B2" w:rsidRDefault="00F709B2">
            <w:pPr>
              <w:widowControl w:val="0"/>
              <w:rPr>
                <w:rFonts w:ascii="Arial" w:eastAsia="Arial" w:hAnsi="Arial" w:cs="Arial"/>
              </w:rPr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709B2">
        <w:trPr>
          <w:trHeight w:val="108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widowControl w:val="0"/>
              <w:spacing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Uwagi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Dozwolone jest opuszczenie jednych zajęć w ciągu semestru bez usprawiedliwienia, jednakże nie tych zajęć kiedy wyznaczona jest praca kontrolna. Pozostałe opuszczone zajęcia muszą być usprawiedliwione zaświadczeniami lekarskimi lub innymi zaświadczeniami o </w:t>
            </w:r>
            <w:r>
              <w:rPr>
                <w:rFonts w:ascii="Arial" w:eastAsia="Arial" w:hAnsi="Arial" w:cs="Arial"/>
              </w:rPr>
              <w:t>wydarzeniach losowych. Testy zapowiedziane, a opuszczone w tym czasie muszą być odrobione w czasie wskazanym przez prowadzącego.</w:t>
            </w:r>
          </w:p>
          <w:p w:rsidR="00F709B2" w:rsidRDefault="00F709B2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spacing w:before="57" w:after="57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Egzamin końcowy PNJA</w:t>
            </w:r>
          </w:p>
          <w:p w:rsidR="00F709B2" w:rsidRDefault="004C7EE1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Uzyskanie pozytywnej oceny z pisemnego i ustnego egzaminu końcowego z praktycznej nauki języka angielskiego według standardowej skali ocen (60%) (zaliczenie z oceną).</w:t>
            </w:r>
          </w:p>
          <w:p w:rsidR="00F709B2" w:rsidRDefault="004C7EE1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Warunkiem zaliczenia egzaminu końcowego jest uzyskanie pozytywnej oceny (tj. co najmn</w:t>
            </w:r>
            <w:r>
              <w:rPr>
                <w:rFonts w:ascii="Arial" w:eastAsia="Arial" w:hAnsi="Arial" w:cs="Arial"/>
              </w:rPr>
              <w:t>iej 60% ogółu punktów) z obu części egzaminu: pisemnej i ustnej.</w:t>
            </w:r>
          </w:p>
          <w:p w:rsidR="00F709B2" w:rsidRDefault="004C7EE1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pisemny składa się z podczęści. Student może oblać tylko jedną z tych podczęści, pod warunkiem, że suma punktów przekracza próg 60%. W przypadku uzyskania oceny negatyw</w:t>
            </w:r>
            <w:r>
              <w:rPr>
                <w:rFonts w:ascii="Arial" w:eastAsia="Arial" w:hAnsi="Arial" w:cs="Arial"/>
              </w:rPr>
              <w:t>nej z części pisemnej, student nie może podejść do części ustnej. Natomiast w przypadku uzyskania oceny negatywnej z części ustnej, student podchodzi w sesji poprawkowej tylko do tej części egzaminu.</w:t>
            </w:r>
          </w:p>
          <w:p w:rsidR="00F709B2" w:rsidRDefault="00F709B2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Progi punktowe dla egzaminu PNJA 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5,0: (86 - 100%)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4,5: (79-85%)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4,0: (73-78%)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3,5: (67- 72%)</w:t>
            </w: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3,0: (60 – 66%)</w:t>
            </w:r>
          </w:p>
          <w:p w:rsidR="00F709B2" w:rsidRDefault="00F709B2">
            <w:pPr>
              <w:widowControl w:val="0"/>
              <w:spacing w:before="57" w:after="57"/>
              <w:jc w:val="both"/>
              <w:rPr>
                <w:rFonts w:ascii="Arial" w:eastAsia="Arial" w:hAnsi="Arial" w:cs="Arial"/>
              </w:rPr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a"/>
        <w:tblW w:w="921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12"/>
      </w:tblGrid>
      <w:tr w:rsidR="00F709B2">
        <w:trPr>
          <w:trHeight w:val="1120"/>
        </w:trPr>
        <w:tc>
          <w:tcPr>
            <w:tcW w:w="92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Treści budowane są w oparciu o podręcznik literatury podstawowej oraz materiały dodatkowe, w tym autentyczne, rozwijające umiejętności języ</w:t>
            </w:r>
            <w:r>
              <w:rPr>
                <w:rFonts w:ascii="Arial" w:eastAsia="Arial" w:hAnsi="Arial" w:cs="Arial"/>
              </w:rPr>
              <w:t xml:space="preserve">kowe na poziomie B2/C1, jak też rozwijające wrażliwość </w:t>
            </w:r>
            <w:r>
              <w:rPr>
                <w:rFonts w:ascii="Arial" w:eastAsia="Arial" w:hAnsi="Arial" w:cs="Arial"/>
              </w:rPr>
              <w:br/>
              <w:t>i kompetencję kulturową i interkulturową uczącego się.</w:t>
            </w:r>
          </w:p>
          <w:p w:rsidR="00F709B2" w:rsidRDefault="00F709B2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Tematyka zajęć obejmuje następujące zagadnienia: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What are you like?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Customs and traditions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Looking ahead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Into the wild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Health matters</w:t>
            </w:r>
          </w:p>
          <w:p w:rsidR="00F709B2" w:rsidRDefault="004C7EE1">
            <w:pPr>
              <w:widowControl w:val="0"/>
              <w:numPr>
                <w:ilvl w:val="0"/>
                <w:numId w:val="3"/>
              </w:numPr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Would you believe it?</w:t>
            </w:r>
          </w:p>
          <w:p w:rsidR="00F709B2" w:rsidRDefault="00F709B2">
            <w:pPr>
              <w:widowControl w:val="0"/>
              <w:rPr>
                <w:rFonts w:ascii="Arial" w:eastAsia="Arial" w:hAnsi="Arial" w:cs="Arial"/>
              </w:rPr>
            </w:pPr>
          </w:p>
          <w:p w:rsidR="00F709B2" w:rsidRDefault="004C7EE1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Stosuje się następujące typy zadań: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</w:pPr>
            <w:r>
              <w:rPr>
                <w:rFonts w:ascii="Arial" w:eastAsia="Arial" w:hAnsi="Arial" w:cs="Arial"/>
              </w:rPr>
              <w:t xml:space="preserve">rozwijające umiejętność rozumienie tekstu pisanego: test wielokrotnego wyboru, pytania otwarte, pytania typu prawda/fałsz, ‘multiple matching’, wstawianie brakujących zdań/ paragrafów, etc., 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</w:pPr>
            <w:r>
              <w:rPr>
                <w:rFonts w:ascii="Arial" w:eastAsia="Arial" w:hAnsi="Arial" w:cs="Arial"/>
              </w:rPr>
              <w:t>różno</w:t>
            </w:r>
            <w:r>
              <w:rPr>
                <w:rFonts w:ascii="Arial" w:eastAsia="Arial" w:hAnsi="Arial" w:cs="Arial"/>
              </w:rPr>
              <w:t xml:space="preserve">rodne ćwiczenia rozwijające wiedzę leksykalną, w tym znajomość i umiejętność stosowania </w:t>
            </w:r>
            <w:r>
              <w:rPr>
                <w:rFonts w:ascii="Arial" w:eastAsia="Arial" w:hAnsi="Arial" w:cs="Arial"/>
              </w:rPr>
              <w:br/>
              <w:t xml:space="preserve">w kontekście typowych kolokacji, idiomów, czasowników frazowych, wyrażeń synonimicznych i antonimów, 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</w:pPr>
            <w:r>
              <w:rPr>
                <w:rFonts w:ascii="Arial" w:eastAsia="Arial" w:hAnsi="Arial" w:cs="Arial"/>
              </w:rPr>
              <w:t>ćwiczenia słowotwórcze (word-building),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</w:pPr>
            <w:r>
              <w:rPr>
                <w:rFonts w:ascii="Arial" w:eastAsia="Arial" w:hAnsi="Arial" w:cs="Arial"/>
              </w:rPr>
              <w:t>uzupełniające ćwiczenia g</w:t>
            </w:r>
            <w:r>
              <w:rPr>
                <w:rFonts w:ascii="Arial" w:eastAsia="Arial" w:hAnsi="Arial" w:cs="Arial"/>
              </w:rPr>
              <w:t>ramatyczne, stosownie do poziomu wiedzy/umiejętności studentów,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</w:pPr>
            <w:r>
              <w:rPr>
                <w:rFonts w:ascii="Arial" w:eastAsia="Arial" w:hAnsi="Arial" w:cs="Arial"/>
              </w:rPr>
              <w:t>elementy dyskusji</w:t>
            </w:r>
          </w:p>
          <w:p w:rsidR="00F709B2" w:rsidRDefault="004C7EE1">
            <w:pPr>
              <w:widowControl w:val="0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indywidualne lub/i grupowe gry dydaktyczne sprawdzające umiejętności językowe oraz stopień opanowania materiału.</w:t>
            </w:r>
          </w:p>
          <w:p w:rsidR="00F709B2" w:rsidRDefault="00F709B2">
            <w:pPr>
              <w:widowControl w:val="0"/>
              <w:ind w:left="15"/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1065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870"/>
        <w:gridCol w:w="780"/>
      </w:tblGrid>
      <w:tr w:rsidR="00F709B2">
        <w:trPr>
          <w:trHeight w:val="560"/>
        </w:trPr>
        <w:tc>
          <w:tcPr>
            <w:tcW w:w="98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Gude, K. &amp;</w:t>
            </w:r>
            <w:r>
              <w:rPr>
                <w:rFonts w:ascii="Arial" w:eastAsia="Arial" w:hAnsi="Arial" w:cs="Arial"/>
              </w:rPr>
              <w:t xml:space="preserve"> M. Stephens. 2014. </w:t>
            </w:r>
            <w:r>
              <w:rPr>
                <w:rFonts w:ascii="Arial" w:eastAsia="Arial" w:hAnsi="Arial" w:cs="Arial"/>
                <w:i/>
              </w:rPr>
              <w:t xml:space="preserve">Cambridge English Advanced Result. </w:t>
            </w:r>
            <w:r>
              <w:rPr>
                <w:rFonts w:ascii="Arial" w:eastAsia="Arial" w:hAnsi="Arial" w:cs="Arial"/>
              </w:rPr>
              <w:t xml:space="preserve">Student’s Book and Workbook. Oxford University Press. </w:t>
            </w:r>
          </w:p>
          <w:p w:rsidR="00F709B2" w:rsidRDefault="004C7EE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>
              <w:t>Wellman, G. 1989. </w:t>
            </w:r>
            <w:r>
              <w:rPr>
                <w:i/>
              </w:rPr>
              <w:t>Wordbuilder: Vocabulary Development and Practice for Higher-level Students. </w:t>
            </w:r>
            <w:r>
              <w:rPr>
                <w:color w:val="333333"/>
              </w:rPr>
              <w:t>Macmillan Education.</w:t>
            </w:r>
          </w:p>
        </w:tc>
        <w:tc>
          <w:tcPr>
            <w:tcW w:w="7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F709B2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uzupełniającej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84"/>
      </w:tblGrid>
      <w:tr w:rsidR="00F709B2">
        <w:trPr>
          <w:trHeight w:val="1100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rPr>
                <w:i/>
              </w:rPr>
              <w:t>Cambridge Certificate in Advanced English: Examination Papers from University of Cambridge ESOL Examinations</w:t>
            </w:r>
            <w:r>
              <w:t xml:space="preserve">. vol. 1-6. CUP. 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French, A.. 2009. </w:t>
            </w:r>
            <w:r>
              <w:rPr>
                <w:i/>
              </w:rPr>
              <w:t>CAE Testbuilder</w:t>
            </w:r>
            <w:r>
              <w:t>. Oxford University Press.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Michael Vince, 2003. </w:t>
            </w:r>
            <w:r>
              <w:rPr>
                <w:i/>
              </w:rPr>
              <w:t>Advanced Language Practice with key</w:t>
            </w:r>
            <w:r>
              <w:t>. Macmillan.</w:t>
            </w:r>
          </w:p>
          <w:p w:rsidR="00F709B2" w:rsidRDefault="004C7EE1">
            <w:pPr>
              <w:numPr>
                <w:ilvl w:val="0"/>
                <w:numId w:val="4"/>
              </w:numPr>
            </w:pPr>
            <w:r>
              <w:t xml:space="preserve">Harrison, M. 2008(?). </w:t>
            </w:r>
            <w:r>
              <w:rPr>
                <w:i/>
              </w:rPr>
              <w:t>CAE Practice Tests</w:t>
            </w:r>
            <w:r>
              <w:t>. Oxford University Press.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Kenny, N. &amp; J. Newbrook. 2008. </w:t>
            </w:r>
            <w:r>
              <w:rPr>
                <w:i/>
              </w:rPr>
              <w:t>CAE Practice Tests Plus.</w:t>
            </w:r>
            <w:r>
              <w:t xml:space="preserve"> Harlow.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McCarthy, M. &amp; F. O’Dell. 2005. </w:t>
            </w:r>
            <w:r>
              <w:rPr>
                <w:i/>
              </w:rPr>
              <w:t>Test Your English Vocabulary in Use: Advanced</w:t>
            </w:r>
            <w:r>
              <w:t>. CUP.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Norris, R. &amp; A. French. 2008. </w:t>
            </w:r>
            <w:r>
              <w:rPr>
                <w:i/>
              </w:rPr>
              <w:t>Ready for CAE</w:t>
            </w:r>
            <w:r>
              <w:t xml:space="preserve">. Macmillan. 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O’Dell, F. &amp; M. McCarthy. 2008. </w:t>
            </w:r>
            <w:r>
              <w:rPr>
                <w:i/>
              </w:rPr>
              <w:t>English Collocations in Use (Advanced)</w:t>
            </w:r>
            <w:r>
              <w:t>, CUP.</w:t>
            </w:r>
          </w:p>
          <w:p w:rsidR="00F709B2" w:rsidRDefault="004C7EE1">
            <w:pPr>
              <w:numPr>
                <w:ilvl w:val="0"/>
                <w:numId w:val="4"/>
              </w:numPr>
            </w:pPr>
            <w:r>
              <w:t xml:space="preserve">Osborne, Ch &amp; Nutall, C. 2012. </w:t>
            </w:r>
            <w:r>
              <w:rPr>
                <w:i/>
              </w:rPr>
              <w:t>CAE Practice Tests.</w:t>
            </w:r>
            <w:r>
              <w:t>National Geographic Learning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>Oxenden, C. &amp; C. Latham-Koenig. 2010</w:t>
            </w:r>
            <w:r>
              <w:t xml:space="preserve">. </w:t>
            </w:r>
            <w:r>
              <w:rPr>
                <w:i/>
              </w:rPr>
              <w:t>New English File Advanced</w:t>
            </w:r>
            <w:r>
              <w:t>. OUP.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Pye, D. &amp; S. Greenall. 1996. </w:t>
            </w:r>
            <w:r>
              <w:rPr>
                <w:i/>
              </w:rPr>
              <w:t>CAE Reading Skills</w:t>
            </w:r>
            <w:r>
              <w:t>. CUP.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Side, R. &amp; G. Wellman. 2001. </w:t>
            </w:r>
            <w:r>
              <w:rPr>
                <w:i/>
              </w:rPr>
              <w:t>Grammar and Vocabulary for Cambridge Advanced and Proficiency with Key.</w:t>
            </w:r>
            <w:r>
              <w:t xml:space="preserve"> Longman. </w:t>
            </w:r>
          </w:p>
          <w:p w:rsidR="00F709B2" w:rsidRDefault="004C7EE1">
            <w:pPr>
              <w:widowControl w:val="0"/>
              <w:numPr>
                <w:ilvl w:val="0"/>
                <w:numId w:val="4"/>
              </w:numPr>
            </w:pPr>
            <w:r>
              <w:t xml:space="preserve">Skipper, M. 2002. </w:t>
            </w:r>
            <w:r>
              <w:rPr>
                <w:i/>
              </w:rPr>
              <w:t>Advanced Grammar and Vocabulary</w:t>
            </w:r>
            <w:r>
              <w:t>. Expres</w:t>
            </w:r>
            <w:r>
              <w:t xml:space="preserve">s Publishing. </w:t>
            </w:r>
          </w:p>
          <w:p w:rsidR="00F709B2" w:rsidRDefault="004C7EE1">
            <w:pPr>
              <w:numPr>
                <w:ilvl w:val="0"/>
                <w:numId w:val="4"/>
              </w:numPr>
            </w:pPr>
            <w:r>
              <w:rPr>
                <w:i/>
              </w:rPr>
              <w:t>Target CAE. 2014.Ćwiczenia, testy, wskazówki. </w:t>
            </w:r>
            <w:r>
              <w:t>Edgard &amp;Audio Edgard</w:t>
            </w:r>
          </w:p>
          <w:p w:rsidR="00F709B2" w:rsidRDefault="00F709B2"/>
        </w:tc>
      </w:tr>
    </w:tbl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p w:rsidR="00F709B2" w:rsidRDefault="004C7EE1">
      <w:pPr>
        <w:widowControl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Bilans godzinowy zgodny z CNPS (Całkowity Nakład Pracy Studenta)</w:t>
      </w:r>
    </w:p>
    <w:p w:rsidR="00F709B2" w:rsidRDefault="00F709B2">
      <w:pPr>
        <w:widowControl w:val="0"/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288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5542"/>
        <w:gridCol w:w="1051"/>
      </w:tblGrid>
      <w:tr w:rsidR="00F709B2">
        <w:trPr>
          <w:trHeight w:val="320"/>
        </w:trPr>
        <w:tc>
          <w:tcPr>
            <w:tcW w:w="26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 w kontakcie z prowadzącymi</w:t>
            </w: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00</w:t>
            </w:r>
          </w:p>
        </w:tc>
      </w:tr>
      <w:tr w:rsidR="00F709B2">
        <w:trPr>
          <w:trHeight w:val="32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Konwersatorium (ćwiczenia, laboratorium itd.)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F709B2">
        <w:trPr>
          <w:trHeight w:val="66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widowControl w:val="0"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Pozostałe godziny kontaktu studenta z prowadzącym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F709B2">
        <w:trPr>
          <w:trHeight w:val="340"/>
        </w:trPr>
        <w:tc>
          <w:tcPr>
            <w:tcW w:w="26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 pracy studenta bez kontaktu z prowadzącymi</w:t>
            </w: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Lektura w ramach przygotowania do zajęć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</w:t>
            </w:r>
          </w:p>
        </w:tc>
      </w:tr>
      <w:tr w:rsidR="00F709B2">
        <w:trPr>
          <w:trHeight w:val="70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00</w:t>
            </w:r>
          </w:p>
        </w:tc>
      </w:tr>
      <w:tr w:rsidR="00F709B2">
        <w:trPr>
          <w:trHeight w:val="72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Prace pisemne typu testowego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F709B2">
        <w:trPr>
          <w:trHeight w:val="36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F709B2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egzaminu/zaliczenia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F709B2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  <w:p w:rsidR="00F709B2" w:rsidRDefault="00F709B2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  <w:p w:rsidR="00F709B2" w:rsidRDefault="00F709B2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F709B2">
        <w:trPr>
          <w:trHeight w:val="360"/>
        </w:trPr>
        <w:tc>
          <w:tcPr>
            <w:tcW w:w="823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Ogółem bilans czasu pracy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90</w:t>
            </w:r>
          </w:p>
        </w:tc>
      </w:tr>
      <w:tr w:rsidR="00F709B2">
        <w:trPr>
          <w:trHeight w:val="380"/>
        </w:trPr>
        <w:tc>
          <w:tcPr>
            <w:tcW w:w="823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F709B2" w:rsidRDefault="004C7EE1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punktów ECTS w zależności od przyjętego przelicznika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F709B2" w:rsidRDefault="004C7EE1">
            <w:pPr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</w:p>
        </w:tc>
      </w:tr>
    </w:tbl>
    <w:p w:rsidR="00F709B2" w:rsidRDefault="004C7EE1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br w:type="page"/>
      </w:r>
    </w:p>
    <w:p w:rsidR="00F709B2" w:rsidRDefault="00F709B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F709B2">
      <w:footerReference w:type="default" r:id="rId7"/>
      <w:pgSz w:w="11906" w:h="16838"/>
      <w:pgMar w:top="851" w:right="1418" w:bottom="851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EE1" w:rsidRDefault="004C7EE1">
      <w:r>
        <w:separator/>
      </w:r>
    </w:p>
  </w:endnote>
  <w:endnote w:type="continuationSeparator" w:id="0">
    <w:p w:rsidR="004C7EE1" w:rsidRDefault="004C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9B2" w:rsidRDefault="004C7EE1">
    <w:pPr>
      <w:jc w:val="right"/>
    </w:pPr>
    <w:r>
      <w:fldChar w:fldCharType="begin"/>
    </w:r>
    <w:r>
      <w:instrText>PAGE</w:instrText>
    </w:r>
    <w:r w:rsidR="00D1111D">
      <w:fldChar w:fldCharType="separate"/>
    </w:r>
    <w:r w:rsidR="00D1111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EE1" w:rsidRDefault="004C7EE1">
      <w:r>
        <w:separator/>
      </w:r>
    </w:p>
  </w:footnote>
  <w:footnote w:type="continuationSeparator" w:id="0">
    <w:p w:rsidR="004C7EE1" w:rsidRDefault="004C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77166"/>
    <w:multiLevelType w:val="multilevel"/>
    <w:tmpl w:val="54CEF9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10A3056"/>
    <w:multiLevelType w:val="multilevel"/>
    <w:tmpl w:val="309C4CE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3F02C02"/>
    <w:multiLevelType w:val="multilevel"/>
    <w:tmpl w:val="2520B994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EE1792D"/>
    <w:multiLevelType w:val="multilevel"/>
    <w:tmpl w:val="0EA8847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5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2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7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1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8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5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B2"/>
    <w:rsid w:val="004C7EE1"/>
    <w:rsid w:val="00D1111D"/>
    <w:rsid w:val="00F7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F815B6-D343-4E72-98D9-D589450E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1421</Words>
  <Characters>8102</Characters>
  <Application>Microsoft Office Word</Application>
  <DocSecurity>0</DocSecurity>
  <Lines>67</Lines>
  <Paragraphs>19</Paragraphs>
  <ScaleCrop>false</ScaleCrop>
  <Company/>
  <LinksUpToDate>false</LinksUpToDate>
  <CharactersWithSpaces>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annG</cp:lastModifiedBy>
  <cp:revision>2</cp:revision>
  <dcterms:created xsi:type="dcterms:W3CDTF">2019-10-04T08:35:00Z</dcterms:created>
  <dcterms:modified xsi:type="dcterms:W3CDTF">2019-10-04T08:37:00Z</dcterms:modified>
</cp:coreProperties>
</file>